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项目名称：磷酸化蛋白组学检测服务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项目编号：BSRMYY-YNCG-2024-06010</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ind w:left="902" w:leftChars="200" w:hanging="482" w:hangingChars="150"/>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1.公司营业执照（须圈出符合资质要求的经营范围和有效期）投标供应商应具备ISO9001质量管理体系认证；实验室通过CAP，CLIA认证，公司拥有自主的OrbitrapTM  AstralTM质谱仪，具备自主蛋白提取，质谱测序等实验条件；拥有独立的研发与分析团队，具备提供详细测序方案以及提供个性化分析的能力</w:t>
      </w: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659"/>
        <w:gridCol w:w="960"/>
        <w:gridCol w:w="1065"/>
        <w:gridCol w:w="100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6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960"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服务数量</w:t>
            </w:r>
          </w:p>
        </w:tc>
        <w:tc>
          <w:tcPr>
            <w:tcW w:w="106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w:t>
            </w:r>
          </w:p>
        </w:tc>
        <w:tc>
          <w:tcPr>
            <w:tcW w:w="1005" w:type="dxa"/>
            <w:vAlign w:val="center"/>
          </w:tcPr>
          <w:p>
            <w:pPr>
              <w:widowControl/>
              <w:spacing w:line="360" w:lineRule="auto"/>
              <w:jc w:val="center"/>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合计</w:t>
            </w:r>
          </w:p>
        </w:tc>
        <w:tc>
          <w:tcPr>
            <w:tcW w:w="100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hint="eastAsia" w:ascii="微软雅黑" w:hAnsi="微软雅黑" w:eastAsia="微软雅黑" w:cs="微软雅黑"/>
                <w:i w:val="0"/>
                <w:caps w:val="0"/>
                <w:color w:val="555555"/>
                <w:spacing w:val="0"/>
                <w:sz w:val="21"/>
                <w:szCs w:val="21"/>
                <w:lang w:val="en-US" w:eastAsia="zh-CN"/>
              </w:rPr>
              <w:t>磷酸化蛋白组学检测服务</w:t>
            </w:r>
          </w:p>
        </w:tc>
        <w:tc>
          <w:tcPr>
            <w:tcW w:w="4659" w:type="dxa"/>
            <w:vAlign w:val="center"/>
          </w:tcPr>
          <w:p>
            <w:pPr>
              <w:ind w:left="0" w:leftChars="0" w:firstLine="0"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测序平台：</w:t>
            </w:r>
            <w:r>
              <w:rPr>
                <w:rFonts w:ascii="Times New Roman" w:hAnsi="Times New Roman" w:cs="Times New Roman"/>
                <w:color w:val="000000" w:themeColor="text1"/>
                <w:sz w:val="24"/>
                <w:szCs w:val="24"/>
                <w14:textFill>
                  <w14:solidFill>
                    <w14:schemeClr w14:val="tx1"/>
                  </w14:solidFill>
                </w14:textFill>
              </w:rPr>
              <w:t>赛默飞 Orbitrap</w:t>
            </w:r>
            <w:r>
              <w:rPr>
                <w:rFonts w:ascii="Times New Roman" w:hAnsi="Times New Roman" w:cs="Times New Roman"/>
                <w:sz w:val="24"/>
                <w:szCs w:val="24"/>
                <w:vertAlign w:val="superscript"/>
              </w:rPr>
              <w:t xml:space="preserve">TM  </w:t>
            </w:r>
            <w:r>
              <w:rPr>
                <w:rFonts w:ascii="Times New Roman" w:hAnsi="Times New Roman" w:cs="Times New Roman"/>
                <w:color w:val="000000" w:themeColor="text1"/>
                <w:sz w:val="24"/>
                <w:szCs w:val="24"/>
                <w14:textFill>
                  <w14:solidFill>
                    <w14:schemeClr w14:val="tx1"/>
                  </w14:solidFill>
                </w14:textFill>
              </w:rPr>
              <w:t>Astral</w:t>
            </w:r>
            <w:r>
              <w:rPr>
                <w:rFonts w:ascii="Times New Roman" w:hAnsi="Times New Roman" w:cs="Times New Roman"/>
                <w:color w:val="000000" w:themeColor="text1"/>
                <w:sz w:val="24"/>
                <w:szCs w:val="24"/>
                <w:vertAlign w:val="superscript"/>
                <w14:textFill>
                  <w14:solidFill>
                    <w14:schemeClr w14:val="tx1"/>
                  </w14:solidFill>
                </w14:textFill>
              </w:rPr>
              <w:t>TM</w:t>
            </w:r>
          </w:p>
          <w:p>
            <w:pPr>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富集平台：</w:t>
            </w:r>
            <w:r>
              <w:rPr>
                <w:rFonts w:ascii="Times New Roman" w:hAnsi="Times New Roman" w:cs="Times New Roman"/>
                <w:sz w:val="24"/>
                <w:szCs w:val="24"/>
              </w:rPr>
              <w:t>IMAC-F</w:t>
            </w:r>
            <w:r>
              <w:rPr>
                <w:rFonts w:hint="eastAsia" w:ascii="Times New Roman" w:hAnsi="Times New Roman" w:cs="Times New Roman"/>
                <w:sz w:val="24"/>
                <w:szCs w:val="24"/>
              </w:rPr>
              <w:t>e</w:t>
            </w:r>
          </w:p>
          <w:p>
            <w:pPr>
              <w:ind w:left="0" w:leftChars="0" w:firstLine="0"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检测模式：</w:t>
            </w:r>
            <w:r>
              <w:rPr>
                <w:rFonts w:ascii="Times New Roman" w:hAnsi="Times New Roman" w:cs="Times New Roman"/>
                <w:color w:val="000000" w:themeColor="text1"/>
                <w:sz w:val="24"/>
                <w:szCs w:val="24"/>
                <w14:textFill>
                  <w14:solidFill>
                    <w14:schemeClr w14:val="tx1"/>
                  </w14:solidFill>
                </w14:textFill>
              </w:rPr>
              <w:t>正离子， 母离子扫描范围为 380-980m/z，一级质谱分辨率为 240000 at 200 m/z，Normalized AGC Target 为 500%，Maximum IT 为 5ms。MS2 采用 DIA 数据采集模式，设置 299 个扫描窗口，Isolation Window 为 2m/z，HCD Collision Energy 为 25ev，Normalized AGC Target 为 500%，Maximum IT 为 3ms。</w:t>
            </w:r>
          </w:p>
          <w:p>
            <w:pPr>
              <w:ind w:left="0" w:leftChars="0" w:firstLine="0" w:firstLineChars="0"/>
              <w:rPr>
                <w:rFonts w:hint="default" w:ascii="宋体" w:hAnsi="宋体" w:eastAsia="宋体" w:cs="宋体"/>
                <w:b w:val="0"/>
                <w:color w:val="000000"/>
                <w:kern w:val="0"/>
                <w:sz w:val="22"/>
                <w:szCs w:val="22"/>
                <w:lang w:val="en-US" w:eastAsia="zh-CN" w:bidi="ar"/>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分析平台：</w:t>
            </w:r>
            <w:r>
              <w:rPr>
                <w:rFonts w:ascii="Times New Roman" w:hAnsi="Times New Roman" w:cs="Times New Roman"/>
                <w:sz w:val="24"/>
                <w:szCs w:val="24"/>
              </w:rPr>
              <w:t>DIA 数据采用 Spectronaut 软件进行数据处理。软件参数设置如下：酶为 trypsin，max miss cleavage site为1，固定修饰为Carbamidomethyl(C)，动态修饰设定为Oxidation(M)和Acetyl(Protein N-term)，</w:t>
            </w:r>
            <w:r>
              <w:rPr>
                <w:rFonts w:hint="eastAsia" w:ascii="Times New Roman" w:hAnsi="Times New Roman" w:cs="Times New Roman"/>
                <w:sz w:val="24"/>
                <w:szCs w:val="24"/>
              </w:rPr>
              <w:t>数据库检索鉴定到的蛋白必须通过设定的过滤参数</w:t>
            </w:r>
            <w:r>
              <w:rPr>
                <w:rFonts w:ascii="Times New Roman" w:hAnsi="Times New Roman" w:cs="Times New Roman"/>
                <w:sz w:val="24"/>
                <w:szCs w:val="24"/>
              </w:rPr>
              <w:t xml:space="preserve"> FDR&lt;1%。</w:t>
            </w:r>
            <w:r>
              <w:rPr>
                <w:rFonts w:hint="eastAsia" w:ascii="Times New Roman" w:hAnsi="Times New Roman" w:cs="Times New Roman"/>
                <w:sz w:val="24"/>
                <w:szCs w:val="24"/>
              </w:rPr>
              <w:t>分析内容：</w:t>
            </w:r>
            <w:r>
              <w:rPr>
                <w:rFonts w:hint="eastAsia" w:ascii="宋体" w:hAnsi="宋体"/>
                <w:sz w:val="24"/>
                <w:szCs w:val="24"/>
              </w:rPr>
              <w:t>基本分析+高级分析+个性化分析+多组学关联分析</w:t>
            </w:r>
          </w:p>
        </w:tc>
        <w:tc>
          <w:tcPr>
            <w:tcW w:w="960"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8个样本</w:t>
            </w:r>
          </w:p>
        </w:tc>
        <w:tc>
          <w:tcPr>
            <w:tcW w:w="106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3500元</w:t>
            </w:r>
          </w:p>
        </w:tc>
        <w:tc>
          <w:tcPr>
            <w:tcW w:w="100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28000元</w:t>
            </w:r>
          </w:p>
        </w:tc>
        <w:tc>
          <w:tcPr>
            <w:tcW w:w="1001"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w:t>
            </w:r>
            <w:r>
              <w:rPr>
                <w:rFonts w:hint="eastAsia" w:ascii="宋体" w:hAnsi="宋体" w:eastAsia="宋体" w:cs="宋体"/>
                <w:color w:val="auto"/>
                <w:kern w:val="0"/>
                <w:sz w:val="24"/>
                <w:szCs w:val="24"/>
                <w:lang w:val="en-US" w:eastAsia="zh-CN"/>
              </w:rPr>
              <w:t>30日内完成本项目</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报价要求：本次报价为人民币包干价，包含：人工费、实验检测费、资料装订及邮寄费、标本运输费、生物安全管理费、税费、数据保密费、保险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267320052"/>
            <w:r>
              <w:rPr>
                <w:rFonts w:hint="eastAsia" w:ascii="宋体" w:hAnsi="宋体" w:eastAsia="宋体" w:cs="宋体"/>
                <w:color w:val="000000" w:themeColor="text1"/>
                <w:kern w:val="0"/>
                <w:sz w:val="24"/>
                <w:szCs w:val="24"/>
                <w:lang w:val="en-US" w:eastAsia="zh-CN"/>
                <w14:textFill>
                  <w14:solidFill>
                    <w14:schemeClr w14:val="tx1"/>
                  </w14:solidFill>
                </w14:textFill>
              </w:rPr>
              <w:t>合同签订后</w:t>
            </w:r>
            <w:bookmarkStart w:id="1" w:name="_Toc520204758"/>
            <w:bookmarkStart w:id="2" w:name="_Toc24569668"/>
            <w:bookmarkStart w:id="3" w:name="_Toc31427"/>
            <w:bookmarkStart w:id="4" w:name="_Toc12794"/>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供应商开具相应金额的发票，采购人在10日内支付</w:t>
            </w:r>
            <w:r>
              <w:rPr>
                <w:rFonts w:hint="eastAsia" w:ascii="宋体" w:hAnsi="宋体" w:eastAsia="宋体" w:cs="宋体"/>
                <w:color w:val="000000" w:themeColor="text1"/>
                <w:kern w:val="0"/>
                <w:sz w:val="24"/>
                <w:szCs w:val="24"/>
                <w:lang w:val="en-US" w:eastAsia="zh-CN"/>
                <w14:textFill>
                  <w14:solidFill>
                    <w14:schemeClr w14:val="tx1"/>
                  </w14:solidFill>
                </w14:textFill>
              </w:rPr>
              <w:t>支付全部服务费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bookmarkEnd w:id="1"/>
          <w:bookmarkEnd w:id="2"/>
          <w:bookmarkEnd w:id="3"/>
          <w:bookmarkEnd w:id="4"/>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成交供应商在接到成交通知后10日内与采购人签订采购合同和廉政购销协议。</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3.服务结束后，采购人对项目数据有质疑，应协助采购人调查。</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服务配套设备应保证运行正常，出现问题应24小时内解决。</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（1）投标人须依据招标参数及后期合同，如实履行样品检测及数据分析，保证科研数据真实可靠。</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（2）投标人需在合同期内随时解答与项目技术及数据分析相关问题，做好售后。</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（3）售后服务期以招标人科研成果产出需求为准。</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5" w:name="_Toc3955"/>
            <w:r>
              <w:rPr>
                <w:rFonts w:hint="eastAsia" w:ascii="宋体" w:hAnsi="宋体" w:eastAsia="宋体" w:cs="宋体"/>
                <w:color w:val="auto"/>
                <w:kern w:val="0"/>
                <w:sz w:val="24"/>
                <w:szCs w:val="24"/>
                <w:lang w:val="en-US" w:eastAsia="zh-CN"/>
              </w:rPr>
              <w:t>踏勘</w:t>
            </w:r>
            <w:bookmarkEnd w:id="5"/>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eastAsia="微软雅黑"/>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i w:val="0"/>
                <w:caps w:val="0"/>
                <w:color w:val="555555"/>
                <w:spacing w:val="0"/>
                <w:kern w:val="0"/>
                <w:sz w:val="21"/>
                <w:szCs w:val="21"/>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承诺：完全响应采购人的服务要求和商务要求，对本次投标资料的真实性负责。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6" w:name="_Toc173677397"/>
      <w:bookmarkStart w:id="7" w:name="_Toc175017342"/>
      <w:bookmarkStart w:id="8" w:name="_Toc156730450"/>
      <w:bookmarkStart w:id="9" w:name="_Toc156196559"/>
      <w:bookmarkStart w:id="10" w:name="_Toc166549448"/>
      <w:bookmarkStart w:id="11" w:name="_Toc166139912"/>
      <w:bookmarkStart w:id="12" w:name="_Toc156815770"/>
      <w:bookmarkStart w:id="13" w:name="_Toc128229916"/>
      <w:bookmarkStart w:id="14" w:name="_Toc128229745"/>
      <w:bookmarkStart w:id="15" w:name="_Toc128229302"/>
      <w:bookmarkStart w:id="16" w:name="_Toc156196470"/>
      <w:r>
        <w:rPr>
          <w:rFonts w:hint="eastAsia" w:ascii="仿宋_GB2312" w:eastAsia="仿宋_GB2312"/>
          <w:color w:val="auto"/>
          <w:sz w:val="28"/>
          <w:szCs w:val="28"/>
        </w:rPr>
        <w:t>特此证明。</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7" w:name="_Toc156196560"/>
      <w:bookmarkStart w:id="18" w:name="_Toc156196471"/>
      <w:bookmarkStart w:id="19" w:name="_Toc175017343"/>
      <w:bookmarkStart w:id="20" w:name="_Toc166549449"/>
      <w:bookmarkStart w:id="21" w:name="_Toc173677398"/>
      <w:bookmarkStart w:id="22" w:name="_Toc128229917"/>
      <w:bookmarkStart w:id="23" w:name="_Toc156730451"/>
      <w:bookmarkStart w:id="24" w:name="_Toc128229746"/>
      <w:bookmarkStart w:id="25" w:name="_Toc156815771"/>
      <w:bookmarkStart w:id="26" w:name="_Toc166139913"/>
      <w:bookmarkStart w:id="27" w:name="_Toc128229303"/>
      <w:r>
        <w:rPr>
          <w:rFonts w:hint="eastAsia" w:ascii="仿宋_GB2312" w:eastAsia="仿宋_GB2312"/>
          <w:color w:val="auto"/>
          <w:sz w:val="28"/>
          <w:szCs w:val="28"/>
        </w:rPr>
        <w:t xml:space="preserve">  投标人全称</w:t>
      </w:r>
      <w:bookmarkEnd w:id="17"/>
      <w:bookmarkEnd w:id="18"/>
      <w:bookmarkEnd w:id="19"/>
      <w:bookmarkEnd w:id="20"/>
      <w:bookmarkEnd w:id="21"/>
      <w:bookmarkEnd w:id="22"/>
      <w:bookmarkEnd w:id="23"/>
      <w:bookmarkEnd w:id="24"/>
      <w:bookmarkEnd w:id="25"/>
      <w:bookmarkEnd w:id="26"/>
      <w:bookmarkEnd w:id="27"/>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8" w:name="_Toc156196472"/>
      <w:bookmarkStart w:id="29" w:name="_Toc128229747"/>
      <w:bookmarkStart w:id="30" w:name="_Toc173677399"/>
      <w:bookmarkStart w:id="31" w:name="_Toc128229304"/>
      <w:bookmarkStart w:id="32" w:name="_Toc128014297"/>
      <w:bookmarkStart w:id="33" w:name="_Toc237057793"/>
      <w:bookmarkStart w:id="34"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8"/>
      <w:bookmarkEnd w:id="29"/>
      <w:bookmarkEnd w:id="30"/>
      <w:bookmarkEnd w:id="31"/>
      <w:bookmarkEnd w:id="32"/>
      <w:bookmarkEnd w:id="33"/>
      <w:bookmarkEnd w:id="34"/>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E05FC0"/>
    <w:rsid w:val="2CEC7C70"/>
    <w:rsid w:val="2E2F3D72"/>
    <w:rsid w:val="2FC44243"/>
    <w:rsid w:val="33FB61AD"/>
    <w:rsid w:val="37545739"/>
    <w:rsid w:val="376E6279"/>
    <w:rsid w:val="43FA3134"/>
    <w:rsid w:val="485376B2"/>
    <w:rsid w:val="496140CE"/>
    <w:rsid w:val="49720CB8"/>
    <w:rsid w:val="4AE139DB"/>
    <w:rsid w:val="4BDB0A24"/>
    <w:rsid w:val="4C31315D"/>
    <w:rsid w:val="59BA3E3C"/>
    <w:rsid w:val="61130716"/>
    <w:rsid w:val="61143219"/>
    <w:rsid w:val="61FF5DDB"/>
    <w:rsid w:val="626B6216"/>
    <w:rsid w:val="67A74257"/>
    <w:rsid w:val="69D01878"/>
    <w:rsid w:val="6AA47354"/>
    <w:rsid w:val="6B69706A"/>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2024-06-19T04:03:47Z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